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7C" w:rsidRPr="00FE0872" w:rsidRDefault="0033137C" w:rsidP="0033137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087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33137C" w:rsidRPr="00FE0872" w:rsidRDefault="0033137C" w:rsidP="0033137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087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«Детский сад № 14 г. Сосногорска»</w:t>
      </w:r>
    </w:p>
    <w:p w:rsidR="0033137C" w:rsidRPr="00FE0872" w:rsidRDefault="0033137C" w:rsidP="0033137C">
      <w:pPr>
        <w:shd w:val="clear" w:color="auto" w:fill="FFFFFF"/>
        <w:spacing w:after="120" w:line="315" w:lineRule="atLeast"/>
        <w:jc w:val="center"/>
        <w:rPr>
          <w:rFonts w:ascii="Arial Black" w:eastAsia="Times New Roman" w:hAnsi="Arial Black" w:cs="Aharoni"/>
          <w:b/>
          <w:color w:val="002060"/>
          <w:sz w:val="48"/>
          <w:szCs w:val="48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center"/>
        <w:rPr>
          <w:rFonts w:ascii="Arial Black" w:eastAsia="Times New Roman" w:hAnsi="Arial Black" w:cs="Aharoni"/>
          <w:b/>
          <w:color w:val="FF0000"/>
          <w:sz w:val="48"/>
          <w:szCs w:val="48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center"/>
        <w:rPr>
          <w:rFonts w:ascii="Arial Black" w:eastAsia="Times New Roman" w:hAnsi="Arial Black" w:cs="Aharoni"/>
          <w:b/>
          <w:color w:val="FF0000"/>
          <w:sz w:val="48"/>
          <w:szCs w:val="48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center"/>
        <w:rPr>
          <w:rFonts w:ascii="Arial Black" w:eastAsia="Times New Roman" w:hAnsi="Arial Black" w:cs="Aharoni"/>
          <w:b/>
          <w:color w:val="FF0000"/>
          <w:sz w:val="48"/>
          <w:szCs w:val="48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center"/>
        <w:rPr>
          <w:rFonts w:ascii="Arial Black" w:eastAsia="Times New Roman" w:hAnsi="Arial Black" w:cs="Aharoni"/>
          <w:b/>
          <w:color w:val="FF0000"/>
          <w:sz w:val="48"/>
          <w:szCs w:val="48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center"/>
        <w:rPr>
          <w:rFonts w:ascii="Arial Black" w:eastAsia="Times New Roman" w:hAnsi="Arial Black" w:cs="Aharoni"/>
          <w:b/>
          <w:color w:val="FF0000"/>
          <w:sz w:val="48"/>
          <w:szCs w:val="48"/>
          <w:lang w:eastAsia="ru-RU"/>
        </w:rPr>
      </w:pPr>
    </w:p>
    <w:p w:rsidR="0033137C" w:rsidRPr="00FE0872" w:rsidRDefault="0033137C" w:rsidP="0033137C">
      <w:pPr>
        <w:shd w:val="clear" w:color="auto" w:fill="FFFFFF"/>
        <w:spacing w:after="120" w:line="315" w:lineRule="atLeast"/>
        <w:jc w:val="center"/>
        <w:rPr>
          <w:rFonts w:ascii="Arial Black" w:eastAsia="Times New Roman" w:hAnsi="Arial Black" w:cs="Aharoni"/>
          <w:b/>
          <w:color w:val="002060"/>
          <w:sz w:val="48"/>
          <w:szCs w:val="48"/>
          <w:lang w:eastAsia="ru-RU"/>
        </w:rPr>
      </w:pPr>
      <w:r w:rsidRPr="00FE0872">
        <w:rPr>
          <w:rFonts w:ascii="Arial Black" w:eastAsia="Times New Roman" w:hAnsi="Arial Black" w:cs="Aharoni"/>
          <w:b/>
          <w:color w:val="002060"/>
          <w:sz w:val="48"/>
          <w:szCs w:val="48"/>
          <w:lang w:eastAsia="ru-RU"/>
        </w:rPr>
        <w:t>Консультация для педагогов на тему:</w:t>
      </w:r>
    </w:p>
    <w:p w:rsidR="0033137C" w:rsidRDefault="0033137C" w:rsidP="0033137C">
      <w:pPr>
        <w:shd w:val="clear" w:color="auto" w:fill="FFFFFF"/>
        <w:spacing w:after="120" w:line="315" w:lineRule="atLeast"/>
        <w:jc w:val="center"/>
        <w:rPr>
          <w:rFonts w:ascii="Arial Black" w:eastAsia="Times New Roman" w:hAnsi="Arial Black" w:cs="Aharoni"/>
          <w:b/>
          <w:color w:val="FF0000"/>
          <w:sz w:val="48"/>
          <w:szCs w:val="48"/>
          <w:lang w:eastAsia="ru-RU"/>
        </w:rPr>
      </w:pPr>
      <w:r w:rsidRPr="00FE0872">
        <w:rPr>
          <w:rFonts w:ascii="Arial Black" w:eastAsia="Times New Roman" w:hAnsi="Arial Black" w:cs="Aharoni"/>
          <w:b/>
          <w:color w:val="FF0000"/>
          <w:sz w:val="48"/>
          <w:szCs w:val="48"/>
          <w:lang w:eastAsia="ru-RU"/>
        </w:rPr>
        <w:t>ВОСПИТАНИЕ И ОБУЧЕНИЕ ДЕТЕЙ С ОГРАНИЧЕННЫМИ ВОЗМОЖНОСТЯМИ ЗДОРОВЬЯ</w:t>
      </w:r>
    </w:p>
    <w:p w:rsidR="0033137C" w:rsidRDefault="0033137C" w:rsidP="0033137C">
      <w:pPr>
        <w:shd w:val="clear" w:color="auto" w:fill="FFFFFF"/>
        <w:spacing w:after="120" w:line="315" w:lineRule="atLeast"/>
        <w:jc w:val="center"/>
        <w:rPr>
          <w:rFonts w:ascii="Arial Black" w:eastAsia="Times New Roman" w:hAnsi="Arial Black" w:cs="Aharoni"/>
          <w:b/>
          <w:color w:val="FF0000"/>
          <w:sz w:val="48"/>
          <w:szCs w:val="48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center"/>
        <w:rPr>
          <w:rFonts w:ascii="Arial Black" w:eastAsia="Times New Roman" w:hAnsi="Arial Black" w:cs="Aharoni"/>
          <w:b/>
          <w:color w:val="FF0000"/>
          <w:sz w:val="48"/>
          <w:szCs w:val="48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center"/>
        <w:rPr>
          <w:rFonts w:ascii="Arial Black" w:eastAsia="Times New Roman" w:hAnsi="Arial Black" w:cs="Aharoni"/>
          <w:b/>
          <w:color w:val="FF0000"/>
          <w:sz w:val="48"/>
          <w:szCs w:val="48"/>
          <w:lang w:eastAsia="ru-RU"/>
        </w:rPr>
      </w:pPr>
    </w:p>
    <w:p w:rsidR="0033137C" w:rsidRPr="00FE0872" w:rsidRDefault="0033137C" w:rsidP="0033137C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E087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Подготовил: </w:t>
      </w:r>
    </w:p>
    <w:p w:rsidR="0033137C" w:rsidRPr="00FE0872" w:rsidRDefault="0033137C" w:rsidP="0033137C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E087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зам</w:t>
      </w:r>
      <w:proofErr w:type="gramStart"/>
      <w:r w:rsidRPr="00FE087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.з</w:t>
      </w:r>
      <w:proofErr w:type="gramEnd"/>
      <w:r w:rsidRPr="00FE087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ав. по ВМР </w:t>
      </w:r>
    </w:p>
    <w:p w:rsidR="0033137C" w:rsidRPr="00FE0872" w:rsidRDefault="0033137C" w:rsidP="0033137C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E087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Емельянова Е.В.</w:t>
      </w:r>
    </w:p>
    <w:p w:rsidR="0033137C" w:rsidRPr="00FE0872" w:rsidRDefault="0033137C" w:rsidP="0033137C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33137C" w:rsidRPr="00FE0872" w:rsidRDefault="0033137C" w:rsidP="0033137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E087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2015 г.</w:t>
      </w: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Проблема воспитания и обучения</w:t>
      </w:r>
      <w:r w:rsidRPr="004E66C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4E66C8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детей с ограниченными возможностями здоровья</w:t>
      </w:r>
      <w:r w:rsidRPr="004E66C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общеобразовательном пространстве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Дети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 Имеющиеся у детей отклонения приводят к нарушению умственной работоспособности, недостаткам общей и  мелкой моторики, трудностям во взаимодействии с окружающим миром, изменению способов коммуникации и средств общения, искажению познания окружающего мира, бедности социального опыта, изменениям в становлении личности. В связи с этим  необходима специальная коррекционная работа, направленная на восполнение пробелов в  развитии личности ребенка с ограниченными возможностями здоровья.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4E66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Главными критериями нового стандарта дошкольного образования названы «социализация» и «индивидуальное развитие ребенка».</w:t>
      </w:r>
      <w:r w:rsidRPr="004E66C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Согласно требованиям Стандарта, должны быть созданы такие условия, при которых происходит полноценное развитие, а не обучение воспитанников. Создать такие  условия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деятельности, сотрудничества с взрослыми и сверстниками в зоне его ближайшего развития.   Речь не идет о «психологической готовности» к школе. Задача становится в несколько ином плане: развить механизмы личности ребенка, которые в перспективе и обеспечат ему успешное обучение в школе.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     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</w:t>
      </w:r>
      <w:r w:rsidRPr="004E66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 коррекционной работой</w:t>
      </w:r>
      <w:r w:rsidRPr="004E66C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закрепляется смысл «исправления» отклонений, а за развивающей – смысл раскрытия потенциальных возможностей ребенка. «У педагогического работника, реализующего Программу, должны быть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возраста». Требования Стандарта к профессиональной компетентности педагога акцентируют внимание на необходимости понимания ряда сложнейших понятий: «социальная ситуация развития», «личность воспитанников», «межличностные отношения», «мотивы и потребности», «мотивы и эмоции» и т.д.  Согласно требованиям Стандарта, педагог, должен во главу угла поставить личность ребенка с его недостатками и возможностями.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     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Речь идет о</w:t>
      </w:r>
      <w:r w:rsidRPr="004E66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 создании обучающей атмосферы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в которой у ребенка появится желание приобщиться к теме занятия, и как он сам будет это делать. Педагог должен  постоянно поддерживать желание ребенка, укрепляя и расширяя тем самым его «хочу». Кроме этого он должен передать ему средства и способы, необходимые для такого приобщения, усиливая его «могу». Иначе говоря, задача должна быть предъявлена воспитанникам в такой форме, чтобы дети захотели ее решать. Постановка задач на занятии должна служить цели развития мотива 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деятельности детей с ОВЗ как осмысленного побуждения для определенных действий: слушать, рисовать, конструировать и т.д. Такая мотивировка деятельности будет поддерживать интерес детей на протяжении всего времени занятия, создаст положительный эмоциональный настрой. У детей будет возникать чувство удовлетворения от самостоятельной  деятельности. Нельзя навязывать готовые формы, догмы, правила. Надо создавать ситуации, в ходе которых дети сами бы искали решение.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     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этой целью  следует  включать в занятия, специально разработанные коррекционные задания и упражнения направленные на самостоятельный поиск решения детьми, дозированной, поэтапной помощи взрослого, отказываясь от репродуктивной деятельности.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есколько примеров коррекционных упражнений: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</w:t>
      </w:r>
      <w:r w:rsidRPr="009D6559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. Постановка проблемных заданий:</w:t>
      </w:r>
    </w:p>
    <w:p w:rsidR="0033137C" w:rsidRPr="009D6559" w:rsidRDefault="0033137C" w:rsidP="0033137C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Тема «Овощи – фрукты»:</w:t>
      </w:r>
      <w:r w:rsidRPr="004E66C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столе лежат два ярких шаблона: огурец и помидор. Перед детьми – «разрезанные» части этих шаблонов, смешанные в кучу.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Педагог ставит проблему: «Посмотрите на этот беспорядок, на порядок на моем столе и подумайте, что можно сделать? Что мы будем делать, кто сможет это сделать? Я думаю, здесь хватит работы всем, и даже мне».</w:t>
      </w:r>
    </w:p>
    <w:p w:rsidR="0033137C" w:rsidRPr="009D6559" w:rsidRDefault="0033137C" w:rsidP="0033137C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Тема « Дикие животные»:</w:t>
      </w:r>
      <w:r w:rsidRPr="004E66C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Демонстрируется картинка лисы, у которой закрыты лапы. Под ней располагается  картинки, на каждой из которых изображены лапы животного: волка, собаки, кошки, лисы чернобурки. Выбираются лапы тех животных, которые трудно отличить от лап лисы.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2. Прием «Удивление»:</w:t>
      </w:r>
    </w:p>
    <w:p w:rsidR="0033137C" w:rsidRPr="009D6559" w:rsidRDefault="0033137C" w:rsidP="0033137C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Тема «Транспорт»:</w:t>
      </w:r>
      <w:r w:rsidRPr="004E66C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начале занятия достаю из конверта белые листы бумаги для каждого ребенка. Предлагаю взять простой карандаш и плотно заштриховать лист бумаги. И вдруг на пустом листе появляется картинка. И тут мы начинаем выяснять, у кого и что нарисовано. Так о чем, мы будем говорить на нашем занятии?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Дети не только получили заряд положительных эмоций, сами определили тему занятия, но и тренировали терпение, усидчивость,  развивали мелкую моторику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Pr="004E66C8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D6559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Отработка навыка пространственной ориентировки на основе знакомства с овощами, фруктами.</w:t>
      </w:r>
    </w:p>
    <w:p w:rsidR="0033137C" w:rsidRPr="009D6559" w:rsidRDefault="0033137C" w:rsidP="0033137C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 ходе занятия не просто работаем над формой, величиной и цветом, а учим детей </w:t>
      </w:r>
      <w:proofErr w:type="gramStart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на шкафу красный помидор, а на книжной полке внизу — зеленый помидор; слева, в углу комнаты под стулом… и т.д. Что мы с вами нашли в классной комнате? О чем мы будем говорить на занятии?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4. Упражнения с одновременной опорой на несколько анализаторов: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Тема: «Дом»</w:t>
      </w:r>
    </w:p>
    <w:p w:rsidR="0033137C" w:rsidRPr="009D6559" w:rsidRDefault="0033137C" w:rsidP="0033137C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Упражнение “Сложи картинку”. Каждому воспитаннику, с учетом его особенностей, дается задание: сложить разрезанную на 4-6 частей картинку с 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изображением дома (слуховой анализатор). Дети складывают картинку (работает аналитико-синтетическая деятельность, т.е. познавательная);</w:t>
      </w:r>
    </w:p>
    <w:p w:rsidR="0033137C" w:rsidRPr="009D6559" w:rsidRDefault="0033137C" w:rsidP="0033137C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Затем из цветовых полосок (10 штук полосок разного цвета) — выбрать ту, цвет которой соотносится с цветом дома на сложенной картинке (зрительный анализатор);</w:t>
      </w:r>
    </w:p>
    <w:p w:rsidR="0033137C" w:rsidRPr="009D6559" w:rsidRDefault="0033137C" w:rsidP="0033137C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Определить номер своего конверта по цвету полоски для изготовления аппликации.</w:t>
      </w: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     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такой постановке задач формируются мотивы деятельности детей с ОВЗ, в которую они включаются. У детей появляется понимание необходимости знаний, дети приобретают познавательный и практический опыт, развиваются мыслительные операции, отрабатывается алгоритм поведения, исчезает боязнь ошибок. А педагог получает возможность опосредованно, без видимой опеки направлять познавательную деятельность детей, избегая авторитарного давления на них. Следовательно, речь идет  не просто об этапах изучения определенных тем, а о развитии личности ребенка посредством формирования его мотивационной сферы.</w:t>
      </w: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33137C" w:rsidRPr="009D6559" w:rsidRDefault="0033137C" w:rsidP="0033137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1.Афанасьева Р.А. Воспитание и обучение детей дошкольного    возраста с нарушением интеллекта. – Иркутск.:2007.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2.Баряева Л.Б. Формирование элементарных математических представлений у дошкольников (с проблемами в развитии): Учебно-методическое пособие. –   СПб</w:t>
      </w:r>
      <w:proofErr w:type="gramStart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Изд-во РГПУ им. А.И. Герцена; Изд-во «СОЮЗ», 2002.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3.Дружинина Л.А. Занятия по развитию ориентировки в пространстве у дошкольников с   нарушениями  зрения.</w:t>
      </w:r>
      <w:r w:rsidRPr="004E66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 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Методические рекомендации  [</w:t>
      </w:r>
      <w:proofErr w:type="spellStart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ред. Л. А Дружинина]. —       Челябинск</w:t>
      </w:r>
      <w:proofErr w:type="gramStart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АЛИМ, изд-во Марины Волковой, 2008.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4.Катаева А.А., </w:t>
      </w:r>
      <w:proofErr w:type="spellStart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Е.А. Дидактические игры в обучении дошкольников с отклонениями в развитии. – М.: </w:t>
      </w:r>
      <w:proofErr w:type="spellStart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2004.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5.Монтессори М. Помоги мне это сделать самому. — М.: Карапуз,  2000.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6. Подготовка к школе детей с задержкой психического раз</w:t>
      </w: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softHyphen/>
        <w:t>вития./Под общей ред. С.Г. Шевченко. — М.: Школьная Пресса, 2003.</w:t>
      </w:r>
    </w:p>
    <w:p w:rsidR="0033137C" w:rsidRPr="009D6559" w:rsidRDefault="0033137C" w:rsidP="0033137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7.Худенко Е.Д., </w:t>
      </w:r>
      <w:proofErr w:type="spellStart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Дедюхина</w:t>
      </w:r>
      <w:proofErr w:type="spellEnd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Поташова</w:t>
      </w:r>
      <w:proofErr w:type="spellEnd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И.И., </w:t>
      </w:r>
      <w:proofErr w:type="spellStart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Шоркина</w:t>
      </w:r>
      <w:proofErr w:type="spellEnd"/>
      <w:r w:rsidRPr="009D655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Т.Д., Барышникова Д.И.</w:t>
      </w:r>
    </w:p>
    <w:p w:rsidR="0033137C" w:rsidRDefault="0033137C" w:rsidP="0033137C"/>
    <w:p w:rsidR="0033137C" w:rsidRDefault="0033137C" w:rsidP="0033137C"/>
    <w:p w:rsidR="0033137C" w:rsidRDefault="0033137C" w:rsidP="0033137C"/>
    <w:p w:rsidR="0033137C" w:rsidRDefault="0033137C" w:rsidP="0033137C"/>
    <w:p w:rsidR="0033137C" w:rsidRDefault="0033137C" w:rsidP="0033137C"/>
    <w:p w:rsidR="00767CB9" w:rsidRDefault="00767CB9"/>
    <w:sectPr w:rsidR="00767CB9" w:rsidSect="0033137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06B"/>
    <w:multiLevelType w:val="multilevel"/>
    <w:tmpl w:val="CBC6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E4D54"/>
    <w:multiLevelType w:val="multilevel"/>
    <w:tmpl w:val="2536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70D68"/>
    <w:multiLevelType w:val="multilevel"/>
    <w:tmpl w:val="1912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95E22"/>
    <w:multiLevelType w:val="multilevel"/>
    <w:tmpl w:val="1A1A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B116D"/>
    <w:multiLevelType w:val="multilevel"/>
    <w:tmpl w:val="6B48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37C"/>
    <w:rsid w:val="0033137C"/>
    <w:rsid w:val="0076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6701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2015-09-21T11:26:00Z</dcterms:created>
  <dcterms:modified xsi:type="dcterms:W3CDTF">2015-09-21T11:27:00Z</dcterms:modified>
</cp:coreProperties>
</file>